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841F0">
      <w:pPr>
        <w:jc w:val="center"/>
        <w:rPr>
          <w:rFonts w:hint="eastAsia"/>
          <w:b/>
          <w:bCs/>
          <w:sz w:val="32"/>
          <w:szCs w:val="32"/>
        </w:rPr>
      </w:pPr>
      <w:bookmarkStart w:id="0" w:name="ZTZL-GK-08 关于审核人员廉洁自律规定的公开信"/>
      <w:bookmarkEnd w:id="0"/>
      <w:r>
        <w:rPr>
          <w:rFonts w:hint="eastAsia"/>
          <w:b/>
          <w:bCs/>
          <w:sz w:val="32"/>
          <w:szCs w:val="32"/>
        </w:rPr>
        <w:t>An open letter on the rules of honesty and self-discipline of auditors</w:t>
      </w:r>
    </w:p>
    <w:p w14:paraId="351853D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72" w:line="360" w:lineRule="auto"/>
        <w:ind w:left="113"/>
        <w:rPr>
          <w:rFonts w:hint="eastAsia" w:ascii="宋体" w:hAnsi="宋体" w:eastAsia="宋体" w:cs="宋体"/>
          <w:b/>
          <w:bCs/>
          <w:sz w:val="21"/>
          <w:szCs w:val="21"/>
        </w:rPr>
      </w:pPr>
      <w:bookmarkStart w:id="1" w:name="_GoBack"/>
      <w:bookmarkEnd w:id="1"/>
    </w:p>
    <w:p w14:paraId="46DF16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72" w:line="360" w:lineRule="auto"/>
        <w:ind w:left="11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Each audited organization:</w:t>
      </w:r>
    </w:p>
    <w:p w14:paraId="32F0E66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506" w:firstLine="416" w:firstLineChars="200"/>
        <w:rPr>
          <w:rFonts w:hint="eastAsia" w:ascii="宋体" w:hAnsi="宋体" w:eastAsia="宋体" w:cs="宋体"/>
          <w:spacing w:val="-1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Thank you for your trust in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our company.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and entrust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our 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to conduct certification audit for your organization. Thank you for your support and warm reception for the audit work.</w:t>
      </w:r>
    </w:p>
    <w:p w14:paraId="057E5A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506" w:firstLine="416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In order to maintain the authority of certification in China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ensure the fairness and effectiveness of certification work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and standardize the integrity and self-discipline of auditors in this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company.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we hereby inform you as follows:</w:t>
      </w:r>
    </w:p>
    <w:p w14:paraId="14138072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57"/>
        </w:tabs>
        <w:kinsoku/>
        <w:wordWrap/>
        <w:overflowPunct/>
        <w:topLinePunct w:val="0"/>
        <w:bidi w:val="0"/>
        <w:adjustRightInd w:val="0"/>
        <w:snapToGrid w:val="0"/>
        <w:spacing w:before="78" w:after="0" w:line="360" w:lineRule="auto"/>
        <w:ind w:left="0" w:leftChars="0" w:right="0" w:firstLine="567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Auditors are not allowed to stay in senior hotels and suites;</w:t>
      </w:r>
    </w:p>
    <w:p w14:paraId="0A332AB0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57"/>
        </w:tabs>
        <w:kinsoku/>
        <w:wordWrap/>
        <w:overflowPunct/>
        <w:topLinePunct w:val="0"/>
        <w:bidi w:val="0"/>
        <w:adjustRightInd w:val="0"/>
        <w:snapToGrid w:val="0"/>
        <w:spacing w:before="125" w:after="0" w:line="360" w:lineRule="auto"/>
        <w:ind w:left="0" w:leftChars="0" w:right="0" w:firstLine="567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Auditors shall use working meals and refuse banquets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shall not drink alcohol or go out without authorization during the audit;</w:t>
      </w:r>
    </w:p>
    <w:p w14:paraId="57155D16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57"/>
        </w:tabs>
        <w:kinsoku/>
        <w:wordWrap/>
        <w:overflowPunct/>
        <w:topLinePunct w:val="0"/>
        <w:bidi w:val="0"/>
        <w:adjustRightInd w:val="0"/>
        <w:snapToGrid w:val="0"/>
        <w:spacing w:before="127" w:after="0" w:line="360" w:lineRule="auto"/>
        <w:ind w:left="0" w:leftChars="0" w:right="0" w:firstLine="567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Auditors shall not accept gifts and securities;</w:t>
      </w:r>
    </w:p>
    <w:p w14:paraId="4B3744B0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57"/>
        </w:tabs>
        <w:kinsoku/>
        <w:wordWrap/>
        <w:overflowPunct/>
        <w:topLinePunct w:val="0"/>
        <w:bidi w:val="0"/>
        <w:adjustRightInd w:val="0"/>
        <w:snapToGrid w:val="0"/>
        <w:spacing w:before="125" w:after="0" w:line="360" w:lineRule="auto"/>
        <w:ind w:left="0" w:leftChars="0" w:right="0" w:firstLine="567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Auditors shall not accept all kinds of gifts and souvenirs;</w:t>
      </w:r>
    </w:p>
    <w:p w14:paraId="69F77371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57"/>
        </w:tabs>
        <w:kinsoku/>
        <w:wordWrap/>
        <w:overflowPunct/>
        <w:topLinePunct w:val="0"/>
        <w:bidi w:val="0"/>
        <w:adjustRightInd w:val="0"/>
        <w:snapToGrid w:val="0"/>
        <w:spacing w:before="124" w:after="0" w:line="360" w:lineRule="auto"/>
        <w:ind w:left="0" w:leftChars="0" w:right="0" w:firstLine="567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Auditors shall not require organizations to provide nourishing drugs or high-grade drugs;</w:t>
      </w:r>
    </w:p>
    <w:p w14:paraId="5B278485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57"/>
        </w:tabs>
        <w:kinsoku/>
        <w:wordWrap/>
        <w:overflowPunct/>
        <w:topLinePunct w:val="0"/>
        <w:bidi w:val="0"/>
        <w:adjustRightInd w:val="0"/>
        <w:snapToGrid w:val="0"/>
        <w:spacing w:before="125" w:after="0" w:line="360" w:lineRule="auto"/>
        <w:ind w:left="0" w:leftChars="0" w:right="0" w:firstLine="567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Auditors are not allowed to participate in various high-consumption entertainment activities;</w:t>
      </w:r>
    </w:p>
    <w:p w14:paraId="671143CA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57"/>
        </w:tabs>
        <w:kinsoku/>
        <w:wordWrap/>
        <w:overflowPunct/>
        <w:topLinePunct w:val="0"/>
        <w:bidi w:val="0"/>
        <w:adjustRightInd w:val="0"/>
        <w:snapToGrid w:val="0"/>
        <w:spacing w:before="124" w:after="0" w:line="360" w:lineRule="auto"/>
        <w:ind w:left="0" w:leftChars="0" w:right="0" w:firstLine="567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Auditors are not allowed to participate in various tourism activities;</w:t>
      </w:r>
    </w:p>
    <w:p w14:paraId="479EF0B8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957"/>
        </w:tabs>
        <w:kinsoku/>
        <w:wordWrap/>
        <w:overflowPunct/>
        <w:topLinePunct w:val="0"/>
        <w:bidi w:val="0"/>
        <w:adjustRightInd w:val="0"/>
        <w:snapToGrid w:val="0"/>
        <w:spacing w:before="125" w:after="0" w:line="360" w:lineRule="auto"/>
        <w:ind w:left="0" w:leftChars="0" w:right="0" w:firstLine="567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Auditors shall not reimburse bills irrelevant to this audit.</w:t>
      </w:r>
    </w:p>
    <w:p w14:paraId="6086A53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45" w:line="360" w:lineRule="auto"/>
        <w:ind w:firstLine="416" w:firstLineChars="200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Please ask your organization to supervise the auditors and give support and assistance to their disciplinary behavior.</w:t>
      </w:r>
    </w:p>
    <w:sectPr>
      <w:headerReference r:id="rId5" w:type="default"/>
      <w:footerReference r:id="rId6" w:type="default"/>
      <w:pgSz w:w="11910" w:h="16850"/>
      <w:pgMar w:top="1134" w:right="1134" w:bottom="1134" w:left="1134" w:header="680" w:footer="68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32DDF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969073">
                          <w:pPr>
                            <w:pStyle w:val="5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/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969073">
                    <w:pPr>
                      <w:pStyle w:val="5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/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19DBE"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</w:pBdr>
      <w:autoSpaceDE w:val="0"/>
      <w:autoSpaceDN w:val="0"/>
      <w:spacing w:before="0" w:beforeAutospacing="0" w:after="0" w:afterAutospacing="0"/>
      <w:ind w:left="0" w:right="0"/>
      <w:jc w:val="left"/>
    </w:pPr>
    <w:r>
      <w:rPr>
        <w:rFonts w:hint="eastAsia" w:ascii="宋体" w:hAnsi="宋体" w:eastAsia="宋体" w:cs="宋体"/>
        <w:kern w:val="0"/>
        <w:sz w:val="22"/>
        <w:szCs w:val="22"/>
        <w:bdr w:val="none" w:color="auto" w:sz="0" w:space="0"/>
        <w:lang w:val="en-US" w:eastAsia="zh-CN" w:bidi="ar"/>
      </w:rPr>
      <w:t>Shandong Chuangan Testing and Certification Group Co., Ltd.              CATC-GK-08 A/0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88DDA2"/>
    <w:multiLevelType w:val="multilevel"/>
    <w:tmpl w:val="6188DDA2"/>
    <w:lvl w:ilvl="0" w:tentative="0">
      <w:start w:val="1"/>
      <w:numFmt w:val="decimal"/>
      <w:lvlText w:val="%1."/>
      <w:lvlJc w:val="left"/>
      <w:pPr>
        <w:ind w:left="745" w:hanging="213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19"/>
        <w:szCs w:val="19"/>
        <w:lang w:val="en-US" w:eastAsia="zh-CN" w:bidi="ar-SA"/>
      </w:rPr>
    </w:lvl>
    <w:lvl w:ilvl="1" w:tentative="0">
      <w:start w:val="1"/>
      <w:numFmt w:val="decimal"/>
      <w:suff w:val="space"/>
      <w:lvlText w:val="%2."/>
      <w:lvlJc w:val="left"/>
      <w:pPr>
        <w:ind w:left="0" w:leftChars="0" w:firstLine="567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94" w:hanging="213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028" w:hanging="213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062" w:hanging="213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096" w:hanging="213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130" w:hanging="213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164" w:hanging="213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98" w:hanging="213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RjOGNlYWY0ZTI3ODQ4Y2Y0ODEwODdlN2ZlMTQ4N2YifQ=="/>
  </w:docVars>
  <w:rsids>
    <w:rsidRoot w:val="00000000"/>
    <w:rsid w:val="06D52F22"/>
    <w:rsid w:val="0A5864BE"/>
    <w:rsid w:val="0C0455A7"/>
    <w:rsid w:val="0F060247"/>
    <w:rsid w:val="17010F93"/>
    <w:rsid w:val="17E25F57"/>
    <w:rsid w:val="186056D4"/>
    <w:rsid w:val="1C9E3BBC"/>
    <w:rsid w:val="1CA20F4A"/>
    <w:rsid w:val="214829D0"/>
    <w:rsid w:val="21A20E61"/>
    <w:rsid w:val="21EF1AB0"/>
    <w:rsid w:val="25753ECD"/>
    <w:rsid w:val="299C62F4"/>
    <w:rsid w:val="321F0876"/>
    <w:rsid w:val="34DA795B"/>
    <w:rsid w:val="36B61F5B"/>
    <w:rsid w:val="3B312DF4"/>
    <w:rsid w:val="3CBE7045"/>
    <w:rsid w:val="3FD74ED4"/>
    <w:rsid w:val="40F01BC3"/>
    <w:rsid w:val="425440AD"/>
    <w:rsid w:val="460E708E"/>
    <w:rsid w:val="4C967AF7"/>
    <w:rsid w:val="4DDB778D"/>
    <w:rsid w:val="514E7FEB"/>
    <w:rsid w:val="52302A24"/>
    <w:rsid w:val="583B7CB1"/>
    <w:rsid w:val="5B7F739E"/>
    <w:rsid w:val="615642AB"/>
    <w:rsid w:val="6B13150E"/>
    <w:rsid w:val="6B5A300C"/>
    <w:rsid w:val="6C3E7EA0"/>
    <w:rsid w:val="6CF12CE9"/>
    <w:rsid w:val="6F7848FB"/>
    <w:rsid w:val="6F95006C"/>
    <w:rsid w:val="70043A50"/>
    <w:rsid w:val="724A733B"/>
    <w:rsid w:val="77EF6685"/>
    <w:rsid w:val="79866FC2"/>
    <w:rsid w:val="7A5962CC"/>
    <w:rsid w:val="7ECF5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113"/>
      <w:outlineLvl w:val="1"/>
    </w:pPr>
    <w:rPr>
      <w:rFonts w:ascii="黑体" w:hAnsi="黑体" w:eastAsia="黑体" w:cs="黑体"/>
      <w:sz w:val="32"/>
      <w:szCs w:val="32"/>
      <w:lang w:val="en-US" w:eastAsia="zh-CN" w:bidi="ar-SA"/>
    </w:rPr>
  </w:style>
  <w:style w:type="paragraph" w:styleId="3">
    <w:name w:val="heading 2"/>
    <w:basedOn w:val="1"/>
    <w:qFormat/>
    <w:uiPriority w:val="1"/>
    <w:pPr>
      <w:spacing w:before="62"/>
      <w:ind w:left="2196" w:right="2592"/>
      <w:jc w:val="center"/>
      <w:outlineLvl w:val="2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955" w:hanging="423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spacing w:before="109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2329</Words>
  <Characters>14060</Characters>
  <Lines>1</Lines>
  <Paragraphs>1</Paragraphs>
  <TotalTime>25</TotalTime>
  <ScaleCrop>false</ScaleCrop>
  <LinksUpToDate>false</LinksUpToDate>
  <CharactersWithSpaces>16252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2023-11-27T10:49:00Z</dcterms:created>
  <dc:creator>zangnan</dc:creator>
  <cp:lastModifiedBy>开心就好</cp:lastModifiedBy>
  <dcterms:modified xsi:type="dcterms:W3CDTF">2025-02-15T12:25:52Z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2023-11-27T00:00:00Z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CE07C0F8A14841259C105118DEF43F45_12</vt:lpwstr>
  </property>
  <property fmtid="{D5CDD505-2E9C-101B-9397-08002B2CF9AE}" pid="7" name="KSOTemplateDocerSaveRecord">
    <vt:lpwstr>eyJoZGlkIjoiYzJlMWY1MDgwZDg4ZmJiMjVkZGJjMDU4YTg3NTI5YjYiLCJ1c2VySWQiOiI1MTcxMDM1NDEifQ==</vt:lpwstr>
  </property>
</Properties>
</file>