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ED2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1" w:line="240" w:lineRule="auto"/>
        <w:ind w:left="544" w:right="624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ZTZL-GK-02 获证组织和认证机构的权利和义务"/>
      <w:bookmarkEnd w:id="0"/>
      <w:bookmarkStart w:id="1" w:name="公开文件 - 1"/>
      <w:bookmarkEnd w:id="1"/>
      <w:r>
        <w:rPr>
          <w:rFonts w:hint="eastAsia" w:ascii="宋体" w:hAnsi="宋体" w:eastAsia="宋体" w:cs="宋体"/>
          <w:b/>
          <w:bCs/>
          <w:sz w:val="32"/>
          <w:szCs w:val="32"/>
        </w:rPr>
        <w:t>Rights and obligations of certified organizations and certification bodies</w:t>
      </w:r>
    </w:p>
    <w:p w14:paraId="36E597B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Rights and obligations of certified organizations:</w:t>
      </w:r>
    </w:p>
    <w:p w14:paraId="1C932077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Voluntary selection of certification bodies and application for initial certification and re-certification;</w:t>
      </w:r>
    </w:p>
    <w:p w14:paraId="7F4A48EA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Have the right to appeal and complain;</w:t>
      </w:r>
    </w:p>
    <w:p w14:paraId="47D3802E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Have the right to keep organizational secrets;</w:t>
      </w:r>
    </w:p>
    <w:p w14:paraId="148B4385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Always abide by the relevant provisions of national laws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regulations and certification;</w:t>
      </w:r>
    </w:p>
    <w:p w14:paraId="29096B0F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1" w:after="0" w:line="360" w:lineRule="auto"/>
        <w:ind w:left="283" w:leftChars="0" w:right="206" w:firstLine="284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Make all necessary arrangements for the implementation of the audit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including providing conditions for the audit of all documents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records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personnel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processes and areas during the initial certification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supervision</w:t>
      </w:r>
      <w:r>
        <w:rPr>
          <w:rFonts w:hint="eastAsia" w:ascii="宋体" w:hAnsi="宋体" w:eastAsia="宋体" w:cs="宋体"/>
          <w:spacing w:val="-10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re-certification and complaint resolution;</w:t>
      </w:r>
    </w:p>
    <w:p w14:paraId="0F0F2C1A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103" w:firstLine="284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3"/>
          <w:sz w:val="21"/>
          <w:szCs w:val="21"/>
        </w:rPr>
        <w:t>When applicable</w:t>
      </w:r>
      <w:r>
        <w:rPr>
          <w:rFonts w:hint="eastAsia" w:ascii="宋体" w:hAnsi="宋体" w:eastAsia="宋体" w:cs="宋体"/>
          <w:spacing w:val="-1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provide conditions for accepting observers (such as accredited auditors or practice auditors) present at the scene</w:t>
      </w:r>
      <w:r>
        <w:rPr>
          <w:rFonts w:hint="eastAsia" w:ascii="宋体" w:hAnsi="宋体" w:eastAsia="宋体" w:cs="宋体"/>
          <w:spacing w:val="-1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assist the inspection of certification supervision departments</w:t>
      </w:r>
      <w:r>
        <w:rPr>
          <w:rFonts w:hint="eastAsia" w:ascii="宋体" w:hAnsi="宋体" w:eastAsia="宋体" w:cs="宋体"/>
          <w:spacing w:val="-1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3"/>
          <w:sz w:val="21"/>
          <w:szCs w:val="21"/>
        </w:rPr>
        <w:t>and truthfully provide relevant materials and information for inquiries and investigations on related matters;</w:t>
      </w:r>
    </w:p>
    <w:p w14:paraId="7B5D2A47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Explain the qualification of approval only within the scope of approval;</w:t>
      </w:r>
    </w:p>
    <w:p w14:paraId="0E61A75C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208" w:firstLine="284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The publicity of the certified management system or products in various media shall meet the requirements of the 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. When publicizing the certification results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the reputation of the 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 shall not be damaged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and statements that the 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 considers misleading or unauthorized shall not be made;</w:t>
      </w:r>
    </w:p>
    <w:p w14:paraId="1F61622B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8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206" w:firstLine="284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When the certification is suspended or revoked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or when the certification expires and the certification is invalid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the advertising and related publicity activities involving the certification content should be stopped immediately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and all the certification documents should be returned according to the requirements of the 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;</w:t>
      </w:r>
    </w:p>
    <w:p w14:paraId="63AF92D8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77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213" w:firstLine="284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Management system certification can only be used to prove that its management system meets specific standards or other cited documents</w:t>
      </w:r>
      <w:r>
        <w:rPr>
          <w:rFonts w:hint="eastAsia" w:ascii="宋体" w:hAnsi="宋体" w:eastAsia="宋体" w:cs="宋体"/>
          <w:spacing w:val="-5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 xml:space="preserve">and certification cannot be used to imply that its products or services have been approved by the </w:t>
      </w:r>
      <w:r>
        <w:rPr>
          <w:rFonts w:hint="eastAsia" w:ascii="宋体" w:hAnsi="宋体" w:eastAsia="宋体" w:cs="宋体"/>
          <w:spacing w:val="-5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5"/>
          <w:sz w:val="21"/>
          <w:szCs w:val="21"/>
        </w:rPr>
        <w:t xml:space="preserve">; Product certification can be used to prove that its certified products meet specific standards or other cited documents and are approved by the </w:t>
      </w:r>
      <w:r>
        <w:rPr>
          <w:rFonts w:hint="eastAsia" w:ascii="宋体" w:hAnsi="宋体" w:eastAsia="宋体" w:cs="宋体"/>
          <w:spacing w:val="-5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;</w:t>
      </w:r>
    </w:p>
    <w:p w14:paraId="6AEE1D84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77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Ensure that any part of the certification documents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marks or audit reports is not used in a misleading way;</w:t>
      </w:r>
    </w:p>
    <w:p w14:paraId="0B0F8870"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77"/>
          <w:tab w:val="left" w:pos="9680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After obtaining the certification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 xml:space="preserve">abide by the provisions of the certification 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3"/>
          <w:sz w:val="21"/>
          <w:szCs w:val="21"/>
        </w:rPr>
        <w:t xml:space="preserve">'s public document "Information Notification System for Certified Organizations" and inform the certification 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3"/>
          <w:sz w:val="21"/>
          <w:szCs w:val="21"/>
        </w:rPr>
        <w:t xml:space="preserve"> of relevant information in a timely manner.</w:t>
      </w: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2720C7A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2"/>
          <w:sz w:val="21"/>
          <w:szCs w:val="21"/>
        </w:rPr>
        <w:t>Rights and obligations of certification bodies:</w:t>
      </w:r>
    </w:p>
    <w:p w14:paraId="652D655B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Abide by national laws and regulations and relevant certification regulations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and carry out certification activities within the certification business scope approved by CNCA;</w:t>
      </w:r>
    </w:p>
    <w:p w14:paraId="71359C4A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Audit according to the contract to determine whether the organization meets the requirements of certification and registr</w:t>
      </w:r>
      <w:bookmarkStart w:id="2" w:name="_GoBack"/>
      <w:bookmarkEnd w:id="2"/>
      <w:r>
        <w:rPr>
          <w:rFonts w:hint="eastAsia" w:ascii="宋体" w:hAnsi="宋体" w:eastAsia="宋体" w:cs="宋体"/>
          <w:spacing w:val="-3"/>
          <w:sz w:val="21"/>
          <w:szCs w:val="21"/>
        </w:rPr>
        <w:t>ation;</w:t>
      </w:r>
    </w:p>
    <w:p w14:paraId="0294F419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Issuing certification certificates with accreditation marks within the recognized business scope; For certification services outside the approved business scope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issue certificates with only the certification mark of the 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;</w:t>
      </w:r>
    </w:p>
    <w:p w14:paraId="31D098B5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9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Do not engage in any certification consultation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nor have a cooperative relationship with any consulting organization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or reach any agreement or tacit understanding such as giving referral fees;</w:t>
      </w:r>
    </w:p>
    <w:p w14:paraId="3E8A1444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>Do not give kickbacks or middleman introduction fees to applicants or their representatives in any name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so as to attract certified customers. Otherwise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it will seriously violate the accreditation requirements and directly affect the certification qualification of the 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;</w:t>
      </w:r>
    </w:p>
    <w:p w14:paraId="785F148E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It has nothing to do with the consulting fees of any consulting organization</w:t>
      </w:r>
      <w:r>
        <w:rPr>
          <w:rFonts w:hint="eastAsia" w:cs="宋体"/>
          <w:spacing w:val="-3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/</w:t>
      </w:r>
      <w:r>
        <w:rPr>
          <w:rFonts w:hint="eastAsia" w:cs="宋体"/>
          <w:spacing w:val="-3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personnel;</w:t>
      </w:r>
    </w:p>
    <w:p w14:paraId="1DEA2CDB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3"/>
          <w:sz w:val="21"/>
          <w:szCs w:val="21"/>
        </w:rPr>
        <w:t>Sign the certification contract independently</w:t>
      </w:r>
      <w:r>
        <w:rPr>
          <w:rFonts w:hint="eastAsia" w:ascii="宋体" w:hAnsi="宋体" w:eastAsia="宋体" w:cs="宋体"/>
          <w:spacing w:val="-3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3"/>
          <w:sz w:val="21"/>
          <w:szCs w:val="21"/>
        </w:rPr>
        <w:t>and may not negotiate with the consulting contract package or issue the general contract for certification and consulting;</w:t>
      </w:r>
    </w:p>
    <w:p w14:paraId="71C5E17E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9"/>
          <w:sz w:val="21"/>
          <w:szCs w:val="21"/>
        </w:rPr>
        <w:t>Without justifiable reasons</w:t>
      </w:r>
      <w:r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the certification fee shall not be exempted in whole or in part (except for public welfare certification). Otherwise</w:t>
      </w:r>
      <w:r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9"/>
          <w:sz w:val="21"/>
          <w:szCs w:val="21"/>
        </w:rPr>
        <w:t xml:space="preserve">it will seriously violate the accreditation requirements and directly affect the certification qualification of the </w:t>
      </w:r>
      <w:r>
        <w:rPr>
          <w:rFonts w:hint="eastAsia" w:ascii="宋体" w:hAnsi="宋体" w:eastAsia="宋体" w:cs="宋体"/>
          <w:spacing w:val="-9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9"/>
          <w:sz w:val="21"/>
          <w:szCs w:val="21"/>
        </w:rPr>
        <w:t>;</w:t>
      </w:r>
    </w:p>
    <w:p w14:paraId="532A7144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Control the consulting activities/projects undertaken by relevant institutions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and do not accept the certification applications of organizations consulted by them within 2 years;</w:t>
      </w:r>
    </w:p>
    <w:p w14:paraId="5A42BC4C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77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5"/>
          <w:sz w:val="21"/>
          <w:szCs w:val="21"/>
        </w:rPr>
        <w:t>When arranging the audit team to audit the organization</w:t>
      </w:r>
      <w:r>
        <w:rPr>
          <w:rFonts w:hint="eastAsia" w:ascii="宋体" w:hAnsi="宋体" w:eastAsia="宋体" w:cs="宋体"/>
          <w:spacing w:val="-5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no personnel with conflict of interest/competitor relationship with the audited organization will be arranged to participate;</w:t>
      </w:r>
    </w:p>
    <w:p w14:paraId="515D51B9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77"/>
          <w:tab w:val="left" w:pos="9680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In addition to the information required to be publicized in the approved specification documents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 xml:space="preserve">the 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7"/>
          <w:sz w:val="21"/>
          <w:szCs w:val="21"/>
        </w:rPr>
        <w:t xml:space="preserve"> and its personnel have the responsibility to keep confidential all the information related to the organization when accepting the application of the organization and during the audit process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>and shall not disclose it to a third party without the written permission of the organization.</w:t>
      </w:r>
    </w:p>
    <w:p w14:paraId="6086A533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77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firstLine="284" w:firstLineChars="0"/>
        <w:jc w:val="left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The 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8"/>
          <w:sz w:val="21"/>
          <w:szCs w:val="21"/>
        </w:rPr>
        <w:t xml:space="preserve"> shall be responsible for the validity of the certification certificates issued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effectively track the certified organizations</w:t>
      </w:r>
      <w:r>
        <w:rPr>
          <w:rFonts w:hint="eastAsia" w:ascii="宋体" w:hAnsi="宋体" w:eastAsia="宋体" w:cs="宋体"/>
          <w:spacing w:val="-8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8"/>
          <w:sz w:val="21"/>
          <w:szCs w:val="21"/>
        </w:rPr>
        <w:t>and supervise the certified management system of the certified organizations to continuously meet the requirements.</w:t>
      </w:r>
    </w:p>
    <w:sectPr>
      <w:headerReference r:id="rId5" w:type="default"/>
      <w:footerReference r:id="rId6" w:type="default"/>
      <w:pgSz w:w="11910" w:h="16850"/>
      <w:pgMar w:top="1134" w:right="1134" w:bottom="1134" w:left="1134" w:header="680" w:footer="68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3967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DE23ED">
                          <w:pPr>
                            <w:pStyle w:val="5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/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DE23ED">
                    <w:pPr>
                      <w:pStyle w:val="5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/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2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E2B069">
    <w:pPr>
      <w:keepNext w:val="0"/>
      <w:keepLines w:val="0"/>
      <w:widowControl w:val="0"/>
      <w:suppressLineNumbers w:val="0"/>
      <w:pBdr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</w:pBdr>
      <w:autoSpaceDE w:val="0"/>
      <w:autoSpaceDN w:val="0"/>
      <w:spacing w:before="0" w:beforeAutospacing="0" w:after="0" w:afterAutospacing="0"/>
      <w:ind w:left="0" w:right="0"/>
      <w:jc w:val="left"/>
    </w:pPr>
    <w:r>
      <w:rPr>
        <w:rFonts w:hint="eastAsia" w:ascii="宋体" w:hAnsi="宋体" w:eastAsia="宋体" w:cs="宋体"/>
        <w:kern w:val="0"/>
        <w:sz w:val="22"/>
        <w:szCs w:val="22"/>
        <w:lang w:val="en-US" w:eastAsia="zh-CN" w:bidi="ar"/>
      </w:rPr>
      <w:t>Shandong Chuangan Testing and Certification Group Co., Ltd.              CATC-GK-02 A/0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7A16BF"/>
    <w:multiLevelType w:val="multilevel"/>
    <w:tmpl w:val="CF7A16BF"/>
    <w:lvl w:ilvl="0" w:tentative="0">
      <w:start w:val="1"/>
      <w:numFmt w:val="decimal"/>
      <w:suff w:val="space"/>
      <w:lvlText w:val="(%1)"/>
      <w:lvlJc w:val="left"/>
      <w:pPr>
        <w:ind w:left="283" w:leftChars="0" w:firstLine="284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8" w:hanging="346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97" w:hanging="346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605" w:hanging="346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514" w:hanging="346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423" w:hanging="346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331" w:hanging="346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40" w:hanging="346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49" w:hanging="346"/>
      </w:pPr>
      <w:rPr>
        <w:rFonts w:hint="default"/>
        <w:lang w:val="en-US" w:eastAsia="zh-CN" w:bidi="ar-SA"/>
      </w:rPr>
    </w:lvl>
  </w:abstractNum>
  <w:abstractNum w:abstractNumId="1">
    <w:nsid w:val="E15D455E"/>
    <w:multiLevelType w:val="multilevel"/>
    <w:tmpl w:val="E15D455E"/>
    <w:lvl w:ilvl="0" w:tentative="0">
      <w:start w:val="1"/>
      <w:numFmt w:val="decimal"/>
      <w:suff w:val="space"/>
      <w:lvlText w:val="(%1)"/>
      <w:lvlJc w:val="left"/>
      <w:pPr>
        <w:ind w:left="283" w:leftChars="0" w:firstLine="284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-1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8" w:hanging="346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97" w:hanging="346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605" w:hanging="346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514" w:hanging="346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423" w:hanging="346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331" w:hanging="346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40" w:hanging="346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49" w:hanging="346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RjOGNlYWY0ZTI3ODQ4Y2Y0ODEwODdlN2ZlMTQ4N2YifQ=="/>
  </w:docVars>
  <w:rsids>
    <w:rsidRoot w:val="00000000"/>
    <w:rsid w:val="06D52F22"/>
    <w:rsid w:val="079C6FCB"/>
    <w:rsid w:val="0A5864BE"/>
    <w:rsid w:val="0C0455A7"/>
    <w:rsid w:val="0F060247"/>
    <w:rsid w:val="17010F93"/>
    <w:rsid w:val="17E25F57"/>
    <w:rsid w:val="186056D4"/>
    <w:rsid w:val="1C9E3BBC"/>
    <w:rsid w:val="1CA20F4A"/>
    <w:rsid w:val="214829D0"/>
    <w:rsid w:val="21A20E61"/>
    <w:rsid w:val="21EF1AB0"/>
    <w:rsid w:val="25753ECD"/>
    <w:rsid w:val="299C62F4"/>
    <w:rsid w:val="321F0876"/>
    <w:rsid w:val="34DA795B"/>
    <w:rsid w:val="36B61F5B"/>
    <w:rsid w:val="3B312DF4"/>
    <w:rsid w:val="3CBE7045"/>
    <w:rsid w:val="3FD74ED4"/>
    <w:rsid w:val="40F01BC3"/>
    <w:rsid w:val="425440AD"/>
    <w:rsid w:val="460E708E"/>
    <w:rsid w:val="4C967AF7"/>
    <w:rsid w:val="4DDB778D"/>
    <w:rsid w:val="4F4E0F66"/>
    <w:rsid w:val="514E7FEB"/>
    <w:rsid w:val="52302A24"/>
    <w:rsid w:val="583B7CB1"/>
    <w:rsid w:val="5B7F739E"/>
    <w:rsid w:val="615642AB"/>
    <w:rsid w:val="6B13150E"/>
    <w:rsid w:val="6B5A300C"/>
    <w:rsid w:val="6CF12CE9"/>
    <w:rsid w:val="6F7848FB"/>
    <w:rsid w:val="6F95006C"/>
    <w:rsid w:val="70043A50"/>
    <w:rsid w:val="724A733B"/>
    <w:rsid w:val="730247FF"/>
    <w:rsid w:val="77EF6685"/>
    <w:rsid w:val="79866FC2"/>
    <w:rsid w:val="7ECF5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113"/>
      <w:outlineLvl w:val="1"/>
    </w:pPr>
    <w:rPr>
      <w:rFonts w:ascii="黑体" w:hAnsi="黑体" w:eastAsia="黑体" w:cs="黑体"/>
      <w:sz w:val="32"/>
      <w:szCs w:val="32"/>
      <w:lang w:val="en-US" w:eastAsia="zh-CN" w:bidi="ar-SA"/>
    </w:rPr>
  </w:style>
  <w:style w:type="paragraph" w:styleId="3">
    <w:name w:val="heading 2"/>
    <w:basedOn w:val="1"/>
    <w:qFormat/>
    <w:uiPriority w:val="1"/>
    <w:pPr>
      <w:spacing w:before="62"/>
      <w:ind w:left="2196" w:right="2592"/>
      <w:jc w:val="center"/>
      <w:outlineLvl w:val="2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955" w:hanging="423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109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699</Words>
  <Characters>4349</Characters>
  <Lines>1</Lines>
  <Paragraphs>1</Paragraphs>
  <TotalTime>27</TotalTime>
  <ScaleCrop>false</ScaleCrop>
  <LinksUpToDate>false</LinksUpToDate>
  <CharactersWithSpaces>5021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2023-11-27T10:49:00Z</dcterms:created>
  <dc:creator>zangnan</dc:creator>
  <cp:lastModifiedBy>开心就好</cp:lastModifiedBy>
  <dcterms:modified xsi:type="dcterms:W3CDTF">2025-02-15T10:12:22Z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2023-11-27T00:00:00Z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CE07C0F8A14841259C105118DEF43F45_12</vt:lpwstr>
  </property>
  <property fmtid="{D5CDD505-2E9C-101B-9397-08002B2CF9AE}" pid="7" name="KSOTemplateDocerSaveRecord">
    <vt:lpwstr>eyJoZGlkIjoiYzJlMWY1MDgwZDg4ZmJiMjVkZGJjMDU4YTg3NTI5YjYiLCJ1c2VySWQiOiI1MTcxMDM1NDEifQ==</vt:lpwstr>
  </property>
</Properties>
</file>