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90CD3">
      <w:pPr>
        <w:pStyle w:val="3"/>
        <w:keepNext w:val="0"/>
        <w:keepLines w:val="0"/>
        <w:pageBreakBefore w:val="0"/>
        <w:widowControl w:val="0"/>
        <w:tabs>
          <w:tab w:val="left" w:pos="2983"/>
        </w:tabs>
        <w:kinsoku/>
        <w:wordWrap/>
        <w:overflowPunct/>
        <w:topLinePunct w:val="0"/>
        <w:bidi w:val="0"/>
        <w:adjustRightInd w:val="0"/>
        <w:snapToGrid w:val="0"/>
        <w:spacing w:before="41" w:line="360" w:lineRule="auto"/>
        <w:ind w:left="674" w:right="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组合 4"/>
      <w:bookmarkEnd w:id="0"/>
      <w:bookmarkStart w:id="1" w:name="ZTZL-GK-01 认证申请指南A1"/>
      <w:bookmarkEnd w:id="1"/>
      <w:r>
        <w:rPr>
          <w:rFonts w:hint="eastAsia" w:ascii="宋体" w:hAnsi="宋体" w:eastAsia="宋体" w:cs="宋体"/>
          <w:b/>
          <w:bCs/>
          <w:sz w:val="32"/>
          <w:szCs w:val="32"/>
        </w:rPr>
        <w:t>Guide to certification application</w:t>
      </w:r>
    </w:p>
    <w:p w14:paraId="4707C0CE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3"/>
        </w:tabs>
        <w:kinsoku/>
        <w:wordWrap/>
        <w:overflowPunct/>
        <w:topLinePunct w:val="0"/>
        <w:bidi w:val="0"/>
        <w:adjustRightInd w:val="0"/>
        <w:snapToGrid w:val="0"/>
        <w:spacing w:before="188" w:after="0"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The purpose of this guide is to help all organizations preparing to apply for the certification and registration of the management system of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our company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.</w:t>
      </w:r>
    </w:p>
    <w:p w14:paraId="0FA3F063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41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5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Definition of terms Related institutions:</w:t>
      </w:r>
      <w:r>
        <w:rPr>
          <w:rFonts w:hint="eastAsia" w:ascii="宋体" w:hAnsi="宋体" w:eastAsia="宋体" w:cs="宋体"/>
          <w:spacing w:val="-5"/>
          <w:sz w:val="21"/>
          <w:szCs w:val="21"/>
        </w:rPr>
        <w:t xml:space="preserve"> refers to groups that have administrative relations</w:t>
      </w:r>
      <w:r>
        <w:rPr>
          <w:rFonts w:hint="eastAsia" w:ascii="宋体" w:hAnsi="宋体" w:eastAsia="宋体" w:cs="宋体"/>
          <w:spacing w:val="-5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asset relations</w:t>
      </w:r>
      <w:r>
        <w:rPr>
          <w:rFonts w:hint="eastAsia" w:ascii="宋体" w:hAnsi="宋体" w:eastAsia="宋体" w:cs="宋体"/>
          <w:spacing w:val="-5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economic contract relations or other interest relations with certification bodies</w:t>
      </w:r>
      <w:r>
        <w:rPr>
          <w:rFonts w:hint="eastAsia" w:ascii="宋体" w:hAnsi="宋体" w:eastAsia="宋体" w:cs="宋体"/>
          <w:spacing w:val="-5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Weave.</w:t>
      </w:r>
    </w:p>
    <w:p w14:paraId="016193AC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86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Application steps</w:t>
      </w:r>
    </w:p>
    <w:p w14:paraId="39785DDC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844"/>
          <w:tab w:val="left" w:pos="9680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-38" w:rightChars="0" w:hanging="283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7"/>
          <w:sz w:val="21"/>
          <w:szCs w:val="21"/>
        </w:rPr>
        <w:t>When applying</w:t>
      </w:r>
      <w:r>
        <w:rPr>
          <w:rFonts w:hint="eastAsia" w:ascii="宋体" w:hAnsi="宋体" w:eastAsia="宋体" w:cs="宋体"/>
          <w:spacing w:val="-7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7"/>
          <w:sz w:val="21"/>
          <w:szCs w:val="21"/>
        </w:rPr>
        <w:t xml:space="preserve">you can obtain the public documents of the certification application from the </w:t>
      </w:r>
      <w:r>
        <w:rPr>
          <w:rFonts w:hint="eastAsia" w:ascii="宋体" w:hAnsi="宋体" w:eastAsia="宋体" w:cs="宋体"/>
          <w:spacing w:val="-7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7"/>
          <w:sz w:val="21"/>
          <w:szCs w:val="21"/>
        </w:rPr>
        <w:t xml:space="preserve"> and read the contents carefully so as to understand the relevant matters of the application. The </w:t>
      </w:r>
      <w:r>
        <w:rPr>
          <w:rFonts w:hint="eastAsia" w:ascii="宋体" w:hAnsi="宋体" w:eastAsia="宋体" w:cs="宋体"/>
          <w:spacing w:val="-7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7"/>
          <w:sz w:val="21"/>
          <w:szCs w:val="21"/>
        </w:rPr>
        <w:t xml:space="preserve"> provides the following public documents and related forms to all applicant organizations:</w:t>
      </w:r>
    </w:p>
    <w:p w14:paraId="5AC46E7A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792"/>
          <w:tab w:val="left" w:pos="9680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984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Brief introduction of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Shandong Chuangan Testing &amp; Certification Group Co.. Ltd.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(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CATC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)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including the scope of certification business and the qualification approval and recognition;</w:t>
      </w:r>
    </w:p>
    <w:p w14:paraId="666AC647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50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Names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business scope and addresses of branches and offices of the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;</w:t>
      </w:r>
    </w:p>
    <w:p w14:paraId="3909BA25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96"/>
        </w:tabs>
        <w:kinsoku/>
        <w:wordWrap/>
        <w:overflowPunct/>
        <w:topLinePunct w:val="0"/>
        <w:bidi w:val="0"/>
        <w:adjustRightInd w:val="0"/>
        <w:snapToGrid w:val="0"/>
        <w:spacing w:before="1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A copy of the business license of the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and the approval letter of the National Certification and Accreditation Administration (CNCA);</w:t>
      </w:r>
    </w:p>
    <w:p w14:paraId="1C4CB535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96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Certificate style of the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;</w:t>
      </w:r>
    </w:p>
    <w:p w14:paraId="07E9EA0B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96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Guide to certification application;</w:t>
      </w:r>
    </w:p>
    <w:p w14:paraId="07EE99D5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96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Rights and obligations of the organization and the auditor;</w:t>
      </w:r>
    </w:p>
    <w:p w14:paraId="5215D707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96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Certification fee standard;</w:t>
      </w:r>
    </w:p>
    <w:p w14:paraId="5FBDB69C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96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Provisions on procedures for handling complaints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complaints and disputes;</w:t>
      </w:r>
    </w:p>
    <w:p w14:paraId="7E2639E8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96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Provisions of the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on the conditions for approval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maintenance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expansion or reduction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suspension/restoration and revocation of certification;</w:t>
      </w:r>
    </w:p>
    <w:p w14:paraId="70FD3819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1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Provisions on the use of certification marks and the management of certification certificates;</w:t>
      </w:r>
    </w:p>
    <w:p w14:paraId="5C3B7092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1"/>
        </w:tabs>
        <w:kinsoku/>
        <w:wordWrap/>
        <w:overflowPunct/>
        <w:topLinePunct w:val="0"/>
        <w:bidi w:val="0"/>
        <w:adjustRightInd w:val="0"/>
        <w:snapToGrid w:val="0"/>
        <w:spacing w:before="1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Requirements for application for renewal of certification certificate;</w:t>
      </w:r>
    </w:p>
    <w:p w14:paraId="2698B432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1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An open letter on the rules of honesty and self-discipline of auditors;</w:t>
      </w:r>
    </w:p>
    <w:p w14:paraId="0A741FC3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1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Provisions on the announcement of the directory of certified organizations;</w:t>
      </w:r>
    </w:p>
    <w:p w14:paraId="067DC4E3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1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Relevant publicity materials;</w:t>
      </w:r>
    </w:p>
    <w:p w14:paraId="211E0B5E"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1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firstLine="284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Application Form for Management System Certification.</w:t>
      </w:r>
    </w:p>
    <w:p w14:paraId="268D16B7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896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hanging="283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Fill in the Application Form for Management System Certification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and provide the information required for certification as required (see the application form for details).</w:t>
      </w:r>
    </w:p>
    <w:p w14:paraId="2953413F">
      <w:pPr>
        <w:pStyle w:val="10"/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844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hanging="283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The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will review and confirm the application for Management System Certification and related information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and decide whether to accept the application. If accepted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the Management System Certification Contract shall be signed with the applicant organization.</w:t>
      </w:r>
    </w:p>
    <w:p w14:paraId="3ACCE97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3" w:line="360" w:lineRule="auto"/>
        <w:ind w:right="476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4</w:t>
      </w:r>
      <w:r>
        <w:rPr>
          <w:rFonts w:hint="eastAsia" w:ascii="宋体" w:hAnsi="宋体" w:eastAsia="宋体" w:cs="宋体"/>
          <w:b/>
          <w:bCs/>
          <w:spacing w:val="-4"/>
          <w:sz w:val="21"/>
          <w:szCs w:val="21"/>
        </w:rPr>
        <w:t xml:space="preserve"> Precautions</w:t>
      </w:r>
    </w:p>
    <w:p w14:paraId="7C302D48">
      <w:pPr>
        <w:pStyle w:val="10"/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1095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hanging="283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The certification service of this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is open to all applicants without any restrictions or discrimination.</w:t>
      </w:r>
    </w:p>
    <w:p w14:paraId="2CFCD69A">
      <w:pPr>
        <w:pStyle w:val="10"/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1098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210" w:hanging="283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In order to ensure the fairness of the certification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 xml:space="preserve">the top management of the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z w:val="21"/>
          <w:szCs w:val="21"/>
        </w:rPr>
        <w:t xml:space="preserve"> promises to implement the certification in strict accordance with the requirements of the accreditation standards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 xml:space="preserve">so as to avoid affecting the fairness due to various commercial interests. The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z w:val="21"/>
          <w:szCs w:val="21"/>
        </w:rPr>
        <w:t xml:space="preserve"> does not accept certification applications from organizations consulted by relevant institutions within 2 years.</w:t>
      </w:r>
    </w:p>
    <w:p w14:paraId="60774A2D">
      <w:pPr>
        <w:pStyle w:val="10"/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1060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hanging="283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See the copy of the accreditation certificate issued by CNAS for the accreditation scope of the 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.</w:t>
      </w:r>
    </w:p>
    <w:p w14:paraId="2FDEA238">
      <w:pPr>
        <w:pStyle w:val="10"/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1098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209" w:hanging="283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The applicant organization that has accepted the application and signed the certification contract or certification agreement shall submit a set of management system documents (documents required in the annex of this document) at least 30 days before the on-site audit is planned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and ensure that the corresponding internal audit and management review have been carried out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and the established documented management system has been running for not less than three months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and the special industry (such as construction) has been running for not less than six months.</w:t>
      </w:r>
    </w:p>
    <w:p w14:paraId="1A7312E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12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Organizations applying for preliminary examination according to GB/T19001/ISO 9001 should attach explanatory documents on deletion and outsourcing.</w:t>
      </w:r>
    </w:p>
    <w:p w14:paraId="65CDD276">
      <w:pPr>
        <w:pStyle w:val="10"/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1098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191" w:hanging="283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The activities of the organization applying for certification should continuously meet the requirements of laws and regulations. In the whole process of certification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 xml:space="preserve">if the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z w:val="21"/>
          <w:szCs w:val="21"/>
        </w:rPr>
        <w:t xml:space="preserve"> finds that the activities of the certification organization are inconsistent or potential inconsistent with the requirements of relevant laws and regulations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it will promptly notify the certification organization (orally or in writing) of all the nonconformities found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and take measures such as refusing to accept the certification application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postponing/refusing the certification registration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suspending the use of the certification certificate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increasing irregular supervision and review or re-certification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and revoking the certification certificate as appropriate.</w:t>
      </w:r>
    </w:p>
    <w:p w14:paraId="14CB2514">
      <w:pPr>
        <w:pStyle w:val="10"/>
        <w:keepNext w:val="0"/>
        <w:keepLines w:val="0"/>
        <w:pageBreakBefore w:val="0"/>
        <w:widowControl w:val="0"/>
        <w:numPr>
          <w:ilvl w:val="1"/>
          <w:numId w:val="3"/>
        </w:numPr>
        <w:tabs>
          <w:tab w:val="left" w:pos="1098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209" w:hanging="283" w:firstLine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The organization applying for certification shall ensure that the application materials submitted are consistent with the facts. If the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z w:val="21"/>
          <w:szCs w:val="21"/>
        </w:rPr>
        <w:t xml:space="preserve"> finds that the application materials are fraudulent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concealed or fraudulent in the whole process of certification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it will take measures such as refusing to accept the application for certification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refusing to register for certification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suspending the use of the certification certificate and revoking the certification certificate as appropriate.</w:t>
      </w:r>
    </w:p>
    <w:p w14:paraId="72CF0F5E">
      <w:pPr>
        <w:pStyle w:val="10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833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hanging="283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Confidentiality commitment</w:t>
      </w:r>
    </w:p>
    <w:p w14:paraId="2E7B0A5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114" w:right="210" w:firstLine="56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The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z w:val="21"/>
          <w:szCs w:val="21"/>
        </w:rPr>
        <w:t xml:space="preserve"> and its personnel have the responsibility to keep confidential all the information about the organization that the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company</w:t>
      </w:r>
      <w:r>
        <w:rPr>
          <w:rFonts w:hint="eastAsia" w:ascii="宋体" w:hAnsi="宋体" w:eastAsia="宋体" w:cs="宋体"/>
          <w:sz w:val="21"/>
          <w:szCs w:val="21"/>
        </w:rPr>
        <w:t xml:space="preserve"> has come into contact with in the process of accepting the application of the organization and on-site audit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and shall not disclose it to a third party without the written permission of the organization.</w:t>
      </w:r>
    </w:p>
    <w:p w14:paraId="22D990D5">
      <w:pPr>
        <w:pStyle w:val="10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799"/>
        </w:tabs>
        <w:kinsoku/>
        <w:wordWrap/>
        <w:overflowPunct/>
        <w:topLinePunct w:val="0"/>
        <w:bidi w:val="0"/>
        <w:adjustRightInd w:val="0"/>
        <w:snapToGrid w:val="0"/>
        <w:spacing w:before="0" w:after="0" w:line="360" w:lineRule="auto"/>
        <w:ind w:left="283" w:leftChars="0" w:right="0" w:hanging="283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Attachment: Documents to be Submitted Before On-site Audit of the Organization Applying for Certification</w:t>
      </w:r>
      <w:r>
        <w:rPr>
          <w:rFonts w:hint="eastAsia" w:cs="宋体"/>
          <w:spacing w:val="-1"/>
          <w:sz w:val="21"/>
          <w:szCs w:val="21"/>
          <w:lang w:val="en-US" w:eastAsia="zh-CN"/>
        </w:rPr>
        <w:t>.</w:t>
      </w:r>
    </w:p>
    <w:p w14:paraId="51508B81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46B2C01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Attachment: </w:t>
      </w:r>
    </w:p>
    <w:p w14:paraId="0F0805EF">
      <w:pPr>
        <w:pStyle w:val="3"/>
        <w:keepNext w:val="0"/>
        <w:keepLines w:val="0"/>
        <w:pageBreakBefore w:val="0"/>
        <w:widowControl w:val="0"/>
        <w:tabs>
          <w:tab w:val="left" w:pos="2983"/>
        </w:tabs>
        <w:kinsoku/>
        <w:wordWrap/>
        <w:overflowPunct/>
        <w:topLinePunct w:val="0"/>
        <w:bidi w:val="0"/>
        <w:adjustRightInd w:val="0"/>
        <w:snapToGrid w:val="0"/>
        <w:spacing w:before="41" w:line="360" w:lineRule="auto"/>
        <w:ind w:left="674" w:right="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Documents to be submitted before the on-site audit of the organization applying for certification</w:t>
      </w:r>
    </w:p>
    <w:p w14:paraId="22BEDC5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15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I. The organization applying for certification shall submit the following documents before the on-site audit of initial certification/recertification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and if the documents change before the supervision and audit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the documents of the changed parts shall be submitted:</w:t>
      </w:r>
    </w:p>
    <w:p w14:paraId="2A3AB8B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 the certification application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including the description of the organization's production and operation or service nature;</w:t>
      </w:r>
    </w:p>
    <w:p w14:paraId="7FF534F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1" w:line="360" w:lineRule="auto"/>
        <w:ind w:right="210" w:firstLine="412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2"/>
          <w:sz w:val="21"/>
          <w:szCs w:val="21"/>
        </w:rPr>
        <w:t>2. Copies of legal status documents (such as business license of enterprise legal person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code certificate of institution legal person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legal person registration certificate of association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registration certificate of non-enterprise legal person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establishment documents of party and government organs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organization code certificate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etc.); If the management system covers activities in multiple places</w:t>
      </w:r>
      <w:r>
        <w:rPr>
          <w:rFonts w:hint="eastAsia" w:ascii="宋体" w:hAnsi="宋体" w:eastAsia="宋体" w:cs="宋体"/>
          <w:spacing w:val="-2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a copy of the legal status certificate of each place should be attached (if applicable);</w:t>
      </w:r>
    </w:p>
    <w:p w14:paraId="410337B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 Effective qualification certificate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compulsory license for products/services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compulsory product certification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hygiene license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etc.;</w:t>
      </w:r>
    </w:p>
    <w:p w14:paraId="46EFAF7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1"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 Brief introduction of the organization (including the organization's activities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human and technical resources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and its functions and relationships in a larger entity when applicable);</w:t>
      </w:r>
    </w:p>
    <w:p w14:paraId="3D74DB7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-38" w:rightChars="0" w:firstLine="416" w:firstLineChars="200"/>
        <w:rPr>
          <w:rFonts w:hint="eastAsia" w:ascii="宋体" w:hAnsi="宋体" w:eastAsia="宋体" w:cs="宋体"/>
          <w:spacing w:val="-1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5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building construction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survey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design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supervision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etc. Provide the name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address and progress of the project being implemented (construction).</w:t>
      </w:r>
    </w:p>
    <w:p w14:paraId="70CA132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-38" w:righ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Ⅱ</w:t>
      </w:r>
      <w:r>
        <w:rPr>
          <w:rFonts w:hint="eastAsia" w:ascii="宋体" w:hAnsi="宋体" w:eastAsia="宋体" w:cs="宋体"/>
          <w:spacing w:val="-1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pacing w:val="-1"/>
          <w:sz w:val="21"/>
          <w:szCs w:val="21"/>
        </w:rPr>
        <w:t xml:space="preserve"> in addition to the above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according to the different types of organizations applying for certification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the following corresponding documents need to be submitted:</w:t>
      </w:r>
    </w:p>
    <w:p w14:paraId="20B8EE6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-38" w:rightChars="0"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(Ⅰ) Application for quality management system (QMS) certification:</w:t>
      </w:r>
    </w:p>
    <w:p w14:paraId="4D361F1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-38" w:rightChars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 Documents describing the quality policy and quality objectives of the organization;</w:t>
      </w:r>
    </w:p>
    <w:p w14:paraId="2AAE47C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 Quality manual;</w:t>
      </w:r>
    </w:p>
    <w:p w14:paraId="6146997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right="211" w:firstLine="416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3. All program documents specified in GB/T 19001 standard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including (not limited to): document control procedures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record control procedures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nonconforming product control procedures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internal audit procedures</w:t>
      </w:r>
      <w:r>
        <w:rPr>
          <w:rFonts w:hint="eastAsia" w:ascii="宋体" w:hAnsi="宋体" w:eastAsia="宋体" w:cs="宋体"/>
          <w:spacing w:val="-1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pacing w:val="-1"/>
          <w:sz w:val="21"/>
          <w:szCs w:val="21"/>
        </w:rPr>
        <w:t>corrective measures procedures and preventive measures procedures;</w:t>
      </w:r>
    </w:p>
    <w:p w14:paraId="696AAE4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 Multi-site activities and subcontracting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including the activity management process and division of responsibilities that affect compliance;</w:t>
      </w:r>
    </w:p>
    <w:p w14:paraId="5083475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5. List of quality standards of products or services covered by the quality management system.</w:t>
      </w:r>
    </w:p>
    <w:p w14:paraId="751DBBB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1"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(Ⅱ) to apply for environmental management system (EMS) certification</w:t>
      </w:r>
    </w:p>
    <w:p w14:paraId="2466F23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1"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 a document describing the organization's environmental policy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objectives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indicators and management plan;</w:t>
      </w:r>
    </w:p>
    <w:p w14:paraId="7EA98A3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 List of important environmental factors and applicable laws and regulations;</w:t>
      </w:r>
    </w:p>
    <w:p w14:paraId="182A6CF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 organization chart and responsibilities and authority;</w:t>
      </w:r>
    </w:p>
    <w:p w14:paraId="116FC0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16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4. All program files specified in GB/T24001 standard (not limited to);</w:t>
      </w:r>
    </w:p>
    <w:p w14:paraId="40698E2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the factory floor plan (including pipe network diagram and pollutant discharge distribution map)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sewage permit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etc. (when necessary);</w:t>
      </w:r>
    </w:p>
    <w:p w14:paraId="518159E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6. For new reconstruction and expansion projects after 1998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it is necessary to provide EIA report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EIA report approval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EIA acceptance report and major pollutant discharge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m</w:t>
      </w:r>
      <w:r>
        <w:rPr>
          <w:rFonts w:hint="eastAsia" w:ascii="宋体" w:hAnsi="宋体" w:eastAsia="宋体" w:cs="宋体"/>
          <w:sz w:val="21"/>
          <w:szCs w:val="21"/>
        </w:rPr>
        <w:t>onitoring reports and other supporting documents.</w:t>
      </w:r>
    </w:p>
    <w:p w14:paraId="748EF74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(Ⅲ) Apply for OHSMS certification.</w:t>
      </w:r>
    </w:p>
    <w:p w14:paraId="6B31096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 describe the organization's occupational health and safety policy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objectives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indicators and management plan documents;</w:t>
      </w:r>
    </w:p>
    <w:p w14:paraId="5391D51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 List of important hazard sources (risks) and applicable laws and regulations;</w:t>
      </w:r>
    </w:p>
    <w:p w14:paraId="65B5377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 organization chart and responsibilities and authority;</w:t>
      </w:r>
    </w:p>
    <w:p w14:paraId="04BE51A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 All program files specified in GB/T45001 standard (not limited to);</w:t>
      </w:r>
    </w:p>
    <w:p w14:paraId="6086A53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pacing w:val="-2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 safety and health facilities acceptance report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. </w:t>
      </w:r>
      <w:r>
        <w:rPr>
          <w:rFonts w:hint="eastAsia" w:ascii="宋体" w:hAnsi="宋体" w:eastAsia="宋体" w:cs="宋体"/>
          <w:sz w:val="21"/>
          <w:szCs w:val="21"/>
        </w:rPr>
        <w:t>safety compliance certificate.</w:t>
      </w:r>
      <w:bookmarkStart w:id="2" w:name="ZTZL-GK-02 获证组织和认证机构的权利和义务"/>
      <w:bookmarkEnd w:id="2"/>
      <w:bookmarkStart w:id="3" w:name="公开文件 - 1"/>
      <w:bookmarkEnd w:id="3"/>
    </w:p>
    <w:sectPr>
      <w:headerReference r:id="rId5" w:type="default"/>
      <w:footerReference r:id="rId6" w:type="default"/>
      <w:pgSz w:w="11910" w:h="16850"/>
      <w:pgMar w:top="1134" w:right="1134" w:bottom="1134" w:left="1134" w:header="680" w:footer="68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FC825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AFF2C1">
                          <w:pPr>
                            <w:pStyle w:val="5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/ 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5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AFF2C1">
                    <w:pPr>
                      <w:pStyle w:val="5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sz w:val="21"/>
                        <w:szCs w:val="21"/>
                      </w:rPr>
                      <w:t xml:space="preserve"> / 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NUMPAGES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5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7C0EA6">
    <w:pPr>
      <w:keepNext w:val="0"/>
      <w:keepLines w:val="0"/>
      <w:widowControl w:val="0"/>
      <w:suppressLineNumbers w:val="0"/>
      <w:pBdr>
        <w:bottom w:val="single" w:color="auto" w:sz="4" w:space="0"/>
      </w:pBdr>
      <w:autoSpaceDE w:val="0"/>
      <w:autoSpaceDN w:val="0"/>
      <w:spacing w:before="0" w:beforeAutospacing="0" w:after="0" w:afterAutospacing="0"/>
      <w:ind w:left="0" w:right="0"/>
      <w:jc w:val="left"/>
    </w:pPr>
    <w:r>
      <w:rPr>
        <w:rFonts w:hint="eastAsia" w:ascii="宋体" w:hAnsi="宋体" w:eastAsia="宋体" w:cs="宋体"/>
        <w:kern w:val="0"/>
        <w:sz w:val="22"/>
        <w:szCs w:val="22"/>
        <w:lang w:val="en-US" w:eastAsia="zh-CN" w:bidi="ar"/>
      </w:rPr>
      <w:t xml:space="preserve">Shandong Chuangan Testing and Certification Group Co., Ltd. </w:t>
    </w:r>
    <w:bookmarkStart w:id="4" w:name="_GoBack"/>
    <w:bookmarkEnd w:id="4"/>
    <w:r>
      <w:rPr>
        <w:rFonts w:hint="eastAsia" w:ascii="宋体" w:hAnsi="宋体" w:eastAsia="宋体" w:cs="宋体"/>
        <w:kern w:val="0"/>
        <w:sz w:val="22"/>
        <w:szCs w:val="22"/>
        <w:lang w:val="en-US" w:eastAsia="zh-CN" w:bidi="ar"/>
      </w:rPr>
      <w:t xml:space="preserve">             CATC-GK-01 A/0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293065"/>
    <w:multiLevelType w:val="multilevel"/>
    <w:tmpl w:val="13293065"/>
    <w:lvl w:ilvl="0" w:tentative="0">
      <w:start w:val="4"/>
      <w:numFmt w:val="decimal"/>
      <w:lvlText w:val="%1"/>
      <w:lvlJc w:val="left"/>
      <w:pPr>
        <w:ind w:left="1094" w:hanging="421"/>
        <w:jc w:val="left"/>
      </w:pPr>
      <w:rPr>
        <w:rFonts w:hint="default"/>
        <w:lang w:val="en-US" w:eastAsia="zh-CN" w:bidi="ar-SA"/>
      </w:rPr>
    </w:lvl>
    <w:lvl w:ilvl="1" w:tentative="0">
      <w:start w:val="1"/>
      <w:numFmt w:val="decimal"/>
      <w:suff w:val="space"/>
      <w:lvlText w:val="%1.%2"/>
      <w:lvlJc w:val="left"/>
      <w:pPr>
        <w:ind w:left="283" w:leftChars="0" w:hanging="283" w:firstLineChars="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w w:val="100"/>
        <w:sz w:val="21"/>
        <w:szCs w:val="21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73" w:hanging="42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759" w:hanging="42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646" w:hanging="42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533" w:hanging="42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419" w:hanging="42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306" w:hanging="42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193" w:hanging="421"/>
      </w:pPr>
      <w:rPr>
        <w:rFonts w:hint="default"/>
        <w:lang w:val="en-US" w:eastAsia="zh-CN" w:bidi="ar-SA"/>
      </w:rPr>
    </w:lvl>
  </w:abstractNum>
  <w:abstractNum w:abstractNumId="1">
    <w:nsid w:val="29661717"/>
    <w:multiLevelType w:val="multilevel"/>
    <w:tmpl w:val="29661717"/>
    <w:lvl w:ilvl="0" w:tentative="0">
      <w:start w:val="5"/>
      <w:numFmt w:val="decimal"/>
      <w:suff w:val="space"/>
      <w:lvlText w:val="%1"/>
      <w:lvlJc w:val="left"/>
      <w:pPr>
        <w:ind w:left="283" w:leftChars="0" w:hanging="283" w:firstLineChars="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w w:val="100"/>
        <w:sz w:val="21"/>
        <w:szCs w:val="21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52" w:hanging="159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665" w:hanging="159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577" w:hanging="159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490" w:hanging="159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403" w:hanging="159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315" w:hanging="159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228" w:hanging="159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141" w:hanging="159"/>
      </w:pPr>
      <w:rPr>
        <w:rFonts w:hint="default"/>
        <w:lang w:val="en-US" w:eastAsia="zh-CN" w:bidi="ar-SA"/>
      </w:rPr>
    </w:lvl>
  </w:abstractNum>
  <w:abstractNum w:abstractNumId="2">
    <w:nsid w:val="34782FC9"/>
    <w:multiLevelType w:val="multilevel"/>
    <w:tmpl w:val="34782FC9"/>
    <w:lvl w:ilvl="0" w:tentative="0">
      <w:start w:val="1"/>
      <w:numFmt w:val="decimal"/>
      <w:lvlText w:val="%1"/>
      <w:lvlJc w:val="left"/>
      <w:pPr>
        <w:ind w:left="692" w:hanging="159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w w:val="100"/>
        <w:sz w:val="21"/>
        <w:szCs w:val="21"/>
        <w:lang w:val="en-US" w:eastAsia="zh-CN" w:bidi="ar-SA"/>
      </w:rPr>
    </w:lvl>
    <w:lvl w:ilvl="1" w:tentative="0">
      <w:start w:val="1"/>
      <w:numFmt w:val="decimal"/>
      <w:suff w:val="space"/>
      <w:lvlText w:val="%1.%2"/>
      <w:lvlJc w:val="left"/>
      <w:pPr>
        <w:ind w:left="283" w:leftChars="0" w:hanging="283" w:firstLineChars="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w w:val="100"/>
        <w:sz w:val="21"/>
        <w:szCs w:val="21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729" w:hanging="368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759" w:hanging="368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788" w:hanging="368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818" w:hanging="368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848" w:hanging="368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877" w:hanging="368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907" w:hanging="368"/>
      </w:pPr>
      <w:rPr>
        <w:rFonts w:hint="default"/>
        <w:lang w:val="en-US" w:eastAsia="zh-CN" w:bidi="ar-SA"/>
      </w:rPr>
    </w:lvl>
  </w:abstractNum>
  <w:abstractNum w:abstractNumId="3">
    <w:nsid w:val="7BEF500C"/>
    <w:multiLevelType w:val="multilevel"/>
    <w:tmpl w:val="7BEF500C"/>
    <w:lvl w:ilvl="0" w:tentative="0">
      <w:start w:val="1"/>
      <w:numFmt w:val="decimal"/>
      <w:suff w:val="space"/>
      <w:lvlText w:val="(%1)"/>
      <w:lvlJc w:val="left"/>
      <w:pPr>
        <w:ind w:left="283" w:leftChars="0" w:firstLine="284" w:firstLineChars="0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w w:val="100"/>
        <w:sz w:val="18"/>
        <w:szCs w:val="1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230" w:hanging="317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201" w:hanging="317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171" w:hanging="317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142" w:hanging="317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113" w:hanging="317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083" w:hanging="317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054" w:hanging="317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025" w:hanging="317"/>
      </w:pPr>
      <w:rPr>
        <w:rFonts w:hint="default"/>
        <w:lang w:val="en-US" w:eastAsia="zh-CN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zRjOGNlYWY0ZTI3ODQ4Y2Y0ODEwODdlN2ZlMTQ4N2YifQ=="/>
  </w:docVars>
  <w:rsids>
    <w:rsidRoot w:val="00000000"/>
    <w:rsid w:val="06D52F22"/>
    <w:rsid w:val="0A5864BE"/>
    <w:rsid w:val="0C0455A7"/>
    <w:rsid w:val="0F060247"/>
    <w:rsid w:val="17010F93"/>
    <w:rsid w:val="17E25F57"/>
    <w:rsid w:val="186056D4"/>
    <w:rsid w:val="19E817D1"/>
    <w:rsid w:val="1C9E3BBC"/>
    <w:rsid w:val="1CA20F4A"/>
    <w:rsid w:val="214829D0"/>
    <w:rsid w:val="214947C9"/>
    <w:rsid w:val="21A20E61"/>
    <w:rsid w:val="21EF1AB0"/>
    <w:rsid w:val="25753ECD"/>
    <w:rsid w:val="299C62F4"/>
    <w:rsid w:val="321F0876"/>
    <w:rsid w:val="34DA795B"/>
    <w:rsid w:val="36B61F5B"/>
    <w:rsid w:val="3B312DF4"/>
    <w:rsid w:val="3CBE7045"/>
    <w:rsid w:val="3FD74ED4"/>
    <w:rsid w:val="40F01BC3"/>
    <w:rsid w:val="425440AD"/>
    <w:rsid w:val="460E708E"/>
    <w:rsid w:val="4C967AF7"/>
    <w:rsid w:val="4D1E0879"/>
    <w:rsid w:val="4DDB778D"/>
    <w:rsid w:val="514E7FEB"/>
    <w:rsid w:val="52302A24"/>
    <w:rsid w:val="583B7CB1"/>
    <w:rsid w:val="5B7F739E"/>
    <w:rsid w:val="615642AB"/>
    <w:rsid w:val="6B13150E"/>
    <w:rsid w:val="6B5A300C"/>
    <w:rsid w:val="6CF12CE9"/>
    <w:rsid w:val="6F7848FB"/>
    <w:rsid w:val="6F95006C"/>
    <w:rsid w:val="70043A50"/>
    <w:rsid w:val="724A733B"/>
    <w:rsid w:val="77EF6685"/>
    <w:rsid w:val="79866FC2"/>
    <w:rsid w:val="7ECF52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ind w:left="113"/>
      <w:outlineLvl w:val="1"/>
    </w:pPr>
    <w:rPr>
      <w:rFonts w:ascii="黑体" w:hAnsi="黑体" w:eastAsia="黑体" w:cs="黑体"/>
      <w:sz w:val="32"/>
      <w:szCs w:val="32"/>
      <w:lang w:val="en-US" w:eastAsia="zh-CN" w:bidi="ar-SA"/>
    </w:rPr>
  </w:style>
  <w:style w:type="paragraph" w:styleId="3">
    <w:name w:val="heading 2"/>
    <w:basedOn w:val="1"/>
    <w:qFormat/>
    <w:uiPriority w:val="1"/>
    <w:pPr>
      <w:spacing w:before="62"/>
      <w:ind w:left="2196" w:right="2592"/>
      <w:jc w:val="center"/>
      <w:outlineLvl w:val="2"/>
    </w:pPr>
    <w:rPr>
      <w:rFonts w:ascii="宋体" w:hAnsi="宋体" w:eastAsia="宋体" w:cs="宋体"/>
      <w:sz w:val="28"/>
      <w:szCs w:val="28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955" w:hanging="423"/>
    </w:pPr>
    <w:rPr>
      <w:rFonts w:ascii="宋体" w:hAnsi="宋体" w:eastAsia="宋体" w:cs="宋体"/>
      <w:lang w:val="en-US" w:eastAsia="zh-CN" w:bidi="ar-SA"/>
    </w:rPr>
  </w:style>
  <w:style w:type="paragraph" w:customStyle="1" w:styleId="11">
    <w:name w:val="Table Paragraph"/>
    <w:basedOn w:val="1"/>
    <w:qFormat/>
    <w:uiPriority w:val="1"/>
    <w:pPr>
      <w:spacing w:before="109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1218</Words>
  <Characters>7722</Characters>
  <Lines>1</Lines>
  <Paragraphs>1</Paragraphs>
  <TotalTime>25</TotalTime>
  <ScaleCrop>false</ScaleCrop>
  <LinksUpToDate>false</LinksUpToDate>
  <CharactersWithSpaces>8880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2023-11-27T10:49:00Z</dcterms:created>
  <dc:creator>zangnan</dc:creator>
  <cp:lastModifiedBy>开心就好</cp:lastModifiedBy>
  <dcterms:modified xsi:type="dcterms:W3CDTF">2025-02-15T10:12:47Z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Adobe Acrobat Pro 11.0.7</vt:lpwstr>
  </property>
  <property fmtid="{D5CDD505-2E9C-101B-9397-08002B2CF9AE}" pid="4" name="LastSaved">
    <vt:filetime>2023-11-27T00:00:00Z</vt:filetime>
  </property>
  <property fmtid="{D5CDD505-2E9C-101B-9397-08002B2CF9AE}" pid="5" name="KSOProductBuildVer">
    <vt:lpwstr>2052-12.1.0.19770</vt:lpwstr>
  </property>
  <property fmtid="{D5CDD505-2E9C-101B-9397-08002B2CF9AE}" pid="6" name="ICV">
    <vt:lpwstr>CE07C0F8A14841259C105118DEF43F45_12</vt:lpwstr>
  </property>
  <property fmtid="{D5CDD505-2E9C-101B-9397-08002B2CF9AE}" pid="7" name="KSOTemplateDocerSaveRecord">
    <vt:lpwstr>eyJoZGlkIjoiYzJlMWY1MDgwZDg4ZmJiMjVkZGJjMDU4YTg3NTI5YjYiLCJ1c2VySWQiOiI1MTcxMDM1NDEifQ==</vt:lpwstr>
  </property>
</Properties>
</file>