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DE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Information notification system of certified organizaions</w:t>
      </w:r>
      <w:bookmarkEnd w:id="0"/>
    </w:p>
    <w:p w14:paraId="2451DC4D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Purpose and scope of application</w:t>
      </w:r>
    </w:p>
    <w:p w14:paraId="0C208D83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0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106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This system stipulates the basic requirements for certified organizations to regularly inform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Shandong Chuangan Testing &amp; Certification Group Co.. Ltd.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(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CATC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for short) and provide relevant information for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CATC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's supervision.</w:t>
      </w:r>
    </w:p>
    <w:p w14:paraId="647D41AA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0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after="0" w:line="360" w:lineRule="auto"/>
        <w:ind w:left="0" w:leftChars="0" w:right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This system is applicable to the management of all organizations certified and registered by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>.</w:t>
      </w:r>
    </w:p>
    <w:p w14:paraId="75180B74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Notification method</w:t>
      </w:r>
    </w:p>
    <w:p w14:paraId="2ADF480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line="360" w:lineRule="auto"/>
        <w:ind w:left="113" w:firstLine="416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The daily information notification shall be quarterly (quarterly report)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and the changes in the management system shall be reported to the Marketing Department of the Certification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.</w:t>
      </w:r>
    </w:p>
    <w:p w14:paraId="7D060A8D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0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7" w:after="0" w:line="360" w:lineRule="auto"/>
        <w:ind w:left="0" w:leftChars="0" w:right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Quarterly reports are delivered in the form of documents or electronic media.</w:t>
      </w:r>
    </w:p>
    <w:p w14:paraId="371AF85F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0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The quarterly report shall be submitted to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before the end of the last month of each quarter (March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June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September and December).</w:t>
      </w:r>
    </w:p>
    <w:p w14:paraId="1A74C587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0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The quarterly report shall be issued by the management representative of the certified organization.</w:t>
      </w:r>
    </w:p>
    <w:p w14:paraId="2FA77A44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after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Quarterly report content</w:t>
      </w:r>
    </w:p>
    <w:p w14:paraId="18F91906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0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Legal status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production and operation status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organizational status or ownership change; Changes in compulsory certification or other qualification certificates obtained;</w:t>
      </w:r>
    </w:p>
    <w:p w14:paraId="7B52A65D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after="0" w:line="360" w:lineRule="auto"/>
        <w:ind w:left="0" w:leftChars="0" w:right="0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Changes in organization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legal representative and management (such as key management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decision-making or technical personnel);</w:t>
      </w:r>
    </w:p>
    <w:p w14:paraId="439FAACB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0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Contact address and workplace change of production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operation or service;</w:t>
      </w:r>
    </w:p>
    <w:p w14:paraId="0FDC91FC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7" w:after="0" w:line="360" w:lineRule="auto"/>
        <w:ind w:left="0" w:leftChars="0" w:right="0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Changes in the scope of operation covered by the certified management system;</w:t>
      </w:r>
    </w:p>
    <w:p w14:paraId="3B5E6130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after="0" w:line="360" w:lineRule="auto"/>
        <w:ind w:left="0" w:leftChars="0" w:right="0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Major changes in management system and process;</w:t>
      </w:r>
    </w:p>
    <w:p w14:paraId="2C77B295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109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Accept the product spot checks and results of provincial/national quality supervision departments; Pollutant discharge spot check and results; Safety production/occupational disease spot check and results.</w:t>
      </w:r>
    </w:p>
    <w:p w14:paraId="2DE0A72C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after="0" w:line="360" w:lineRule="auto"/>
        <w:ind w:left="0" w:leftChars="0" w:right="0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Major complaints from customers and interested parties;</w:t>
      </w:r>
    </w:p>
    <w:p w14:paraId="21FE36BE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2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0" w:leftChars="0" w:right="106" w:firstLine="567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Change information in other aspects (including other important circumstances that affect the operation of the management system due to changes in the implemented laws and regulations or mandatory product standards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etc.).</w:t>
      </w:r>
    </w:p>
    <w:p w14:paraId="2836F463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after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Management requirements</w:t>
      </w:r>
    </w:p>
    <w:p w14:paraId="4E5BD848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after="0" w:line="360" w:lineRule="auto"/>
        <w:ind w:left="0" w:leftChars="0" w:right="-38" w:rightChars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Licensed organizations need to fill in the quarterly report of information of licensed organizations realistically and report the changes to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every quarter (no change is required).</w:t>
      </w:r>
    </w:p>
    <w:p w14:paraId="366D65D4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after="0" w:line="360" w:lineRule="auto"/>
        <w:ind w:left="0" w:leftChars="0" w:right="-38" w:rightChars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In case of major accidents related to certification (such as product quality accidents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environmental accidents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occupational health and safety accidents and food safety accidents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etc.)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 xml:space="preserve">the certified organization shall report the accident situation and the measures it has taken/intends to take to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in writing within 5 working days from the date of the accident.</w:t>
      </w:r>
    </w:p>
    <w:p w14:paraId="42F33A79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after="0" w:line="360" w:lineRule="auto"/>
        <w:ind w:left="0" w:leftChars="0" w:right="-38" w:rightChars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When the certified organization has major complaint information (such as media exposure) or major accidents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 xml:space="preserve">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will investigate and verify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send a non-routine supervision and audit team when necessary. After investigation and verification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it will make a decision to suspend/cancel the certification registration and announce it in the relevant media.</w:t>
      </w:r>
    </w:p>
    <w:p w14:paraId="73B3F994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after="0" w:line="360" w:lineRule="auto"/>
        <w:ind w:left="0" w:leftChars="0" w:right="-38" w:rightChars="0" w:firstLine="283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If the report is not timely or true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there are changes that are not reported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once found during the annual supervision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 xml:space="preserve">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will suspend the use of the certification certificate until the certification certificate is revoked according to the specific circumstances.</w:t>
      </w:r>
    </w:p>
    <w:p w14:paraId="61D5014A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2C1757C6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after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attachment</w:t>
      </w:r>
    </w:p>
    <w:p w14:paraId="57B2A8C6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03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after="0" w:line="360" w:lineRule="auto"/>
        <w:ind w:left="533" w:leftChars="0" w:right="106" w:right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Quarterly report of certified organization information</w:t>
      </w:r>
    </w:p>
    <w:p w14:paraId="04B6F33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4172B1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360" w:lineRule="auto"/>
        <w:ind w:left="113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 xml:space="preserve">Certified organization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(seal)</w:t>
      </w:r>
    </w:p>
    <w:tbl>
      <w:tblPr>
        <w:tblStyle w:val="7"/>
        <w:tblW w:w="964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1"/>
        <w:gridCol w:w="722"/>
        <w:gridCol w:w="4256"/>
      </w:tblGrid>
      <w:tr w14:paraId="491358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9649" w:type="dxa"/>
            <w:gridSpan w:val="3"/>
            <w:vAlign w:val="center"/>
          </w:tcPr>
          <w:p w14:paraId="5B375FF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Changes in the organization system and related information (please tick "√" in the corresponding item and attach a note).</w:t>
            </w:r>
          </w:p>
        </w:tc>
      </w:tr>
      <w:tr w14:paraId="598A3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0EF2533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Changes of legal representative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factory director/general manager and management representative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etc.</w:t>
            </w:r>
          </w:p>
        </w:tc>
        <w:tc>
          <w:tcPr>
            <w:tcW w:w="722" w:type="dxa"/>
            <w:vAlign w:val="center"/>
          </w:tcPr>
          <w:p w14:paraId="5DE84015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restart"/>
            <w:vAlign w:val="top"/>
          </w:tcPr>
          <w:p w14:paraId="6CA4514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Description (with corresponding serial number):</w:t>
            </w:r>
          </w:p>
        </w:tc>
      </w:tr>
      <w:tr w14:paraId="408175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23D4EA7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Legal status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business status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organizational status or ownership change.</w:t>
            </w:r>
          </w:p>
        </w:tc>
        <w:tc>
          <w:tcPr>
            <w:tcW w:w="722" w:type="dxa"/>
            <w:vAlign w:val="center"/>
          </w:tcPr>
          <w:p w14:paraId="2587B83C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59587061">
            <w:pPr>
              <w:jc w:val="left"/>
              <w:rPr>
                <w:rFonts w:hint="eastAsia"/>
              </w:rPr>
            </w:pPr>
          </w:p>
        </w:tc>
      </w:tr>
      <w:tr w14:paraId="27CE9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1744B5F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 Changes in compulsory certification or other qualification certificates obtained.</w:t>
            </w:r>
          </w:p>
        </w:tc>
        <w:tc>
          <w:tcPr>
            <w:tcW w:w="722" w:type="dxa"/>
            <w:vAlign w:val="center"/>
          </w:tcPr>
          <w:p w14:paraId="067903E6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2BE5F98E">
            <w:pPr>
              <w:jc w:val="left"/>
              <w:rPr>
                <w:rFonts w:hint="eastAsia"/>
              </w:rPr>
            </w:pPr>
          </w:p>
        </w:tc>
      </w:tr>
      <w:tr w14:paraId="0C020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40F928E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4. Contact address and workplace change of production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operation or service.</w:t>
            </w:r>
          </w:p>
        </w:tc>
        <w:tc>
          <w:tcPr>
            <w:tcW w:w="722" w:type="dxa"/>
            <w:vAlign w:val="center"/>
          </w:tcPr>
          <w:p w14:paraId="36A0CB79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0D9A6E5B">
            <w:pPr>
              <w:jc w:val="left"/>
              <w:rPr>
                <w:rFonts w:hint="eastAsia"/>
              </w:rPr>
            </w:pPr>
          </w:p>
        </w:tc>
      </w:tr>
      <w:tr w14:paraId="0FA4DA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5355169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5. The certification certificate covers the change of product/service/business scope.</w:t>
            </w:r>
          </w:p>
        </w:tc>
        <w:tc>
          <w:tcPr>
            <w:tcW w:w="722" w:type="dxa"/>
            <w:vAlign w:val="center"/>
          </w:tcPr>
          <w:p w14:paraId="6E561CC6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103DFA2E">
            <w:pPr>
              <w:jc w:val="left"/>
              <w:rPr>
                <w:rFonts w:hint="eastAsia"/>
              </w:rPr>
            </w:pPr>
          </w:p>
        </w:tc>
      </w:tr>
      <w:tr w14:paraId="3818F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0006FD08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6. Accept provincial/national supervision and spot checks and results.</w:t>
            </w:r>
          </w:p>
        </w:tc>
        <w:tc>
          <w:tcPr>
            <w:tcW w:w="722" w:type="dxa"/>
            <w:vAlign w:val="center"/>
          </w:tcPr>
          <w:p w14:paraId="5AA93252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094A532A">
            <w:pPr>
              <w:jc w:val="left"/>
              <w:rPr>
                <w:rFonts w:hint="eastAsia"/>
              </w:rPr>
            </w:pPr>
          </w:p>
        </w:tc>
      </w:tr>
      <w:tr w14:paraId="4B8631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7E1BED9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7. Major changes in management system and process (such as document conversion)</w:t>
            </w:r>
          </w:p>
        </w:tc>
        <w:tc>
          <w:tcPr>
            <w:tcW w:w="722" w:type="dxa"/>
            <w:vAlign w:val="center"/>
          </w:tcPr>
          <w:p w14:paraId="584AE8CA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0C45E5C7">
            <w:pPr>
              <w:jc w:val="left"/>
              <w:rPr>
                <w:rFonts w:hint="eastAsia"/>
              </w:rPr>
            </w:pPr>
          </w:p>
        </w:tc>
      </w:tr>
      <w:tr w14:paraId="573B8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0334E33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8. Major complaints from customers and related parties</w:t>
            </w:r>
          </w:p>
        </w:tc>
        <w:tc>
          <w:tcPr>
            <w:tcW w:w="722" w:type="dxa"/>
            <w:vAlign w:val="center"/>
          </w:tcPr>
          <w:p w14:paraId="24D2F94A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7CF34348">
            <w:pPr>
              <w:jc w:val="left"/>
              <w:rPr>
                <w:rFonts w:hint="eastAsia"/>
              </w:rPr>
            </w:pPr>
          </w:p>
        </w:tc>
      </w:tr>
      <w:tr w14:paraId="5E103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4671" w:type="dxa"/>
            <w:vAlign w:val="center"/>
          </w:tcPr>
          <w:p w14:paraId="56DFC08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9. Change information in other aspects (including changes in implemented laws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regulations or mandatory standards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and other important circumstances that affect the operation of the management system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etc.)</w:t>
            </w:r>
          </w:p>
        </w:tc>
        <w:tc>
          <w:tcPr>
            <w:tcW w:w="722" w:type="dxa"/>
            <w:vAlign w:val="center"/>
          </w:tcPr>
          <w:p w14:paraId="665DB87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□</w:t>
            </w:r>
          </w:p>
        </w:tc>
        <w:tc>
          <w:tcPr>
            <w:tcW w:w="4256" w:type="dxa"/>
            <w:vMerge w:val="continue"/>
            <w:tcBorders>
              <w:top w:val="nil"/>
            </w:tcBorders>
            <w:vAlign w:val="center"/>
          </w:tcPr>
          <w:p w14:paraId="65EA400E">
            <w:pPr>
              <w:jc w:val="left"/>
              <w:rPr>
                <w:rFonts w:hint="eastAsia"/>
              </w:rPr>
            </w:pPr>
          </w:p>
        </w:tc>
      </w:tr>
    </w:tbl>
    <w:p w14:paraId="22897E6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59A215E3">
      <w:pPr>
        <w:keepNext w:val="0"/>
        <w:keepLines w:val="0"/>
        <w:pageBreakBefore w:val="0"/>
        <w:widowControl w:val="0"/>
        <w:tabs>
          <w:tab w:val="left" w:pos="517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Name of reporting unit: </w:t>
      </w:r>
      <w:r>
        <w:rPr>
          <w:rFonts w:hint="eastAsia" w:cs="宋体"/>
          <w:b/>
          <w:bCs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Tel:</w:t>
      </w:r>
    </w:p>
    <w:p w14:paraId="5BABE3C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18B1375">
      <w:pPr>
        <w:keepNext w:val="0"/>
        <w:keepLines w:val="0"/>
        <w:pageBreakBefore w:val="0"/>
        <w:widowControl w:val="0"/>
        <w:tabs>
          <w:tab w:val="left" w:pos="3192"/>
          <w:tab w:val="left" w:pos="68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Filed by:</w:t>
      </w:r>
      <w:r>
        <w:rPr>
          <w:rFonts w:hint="eastAsia" w:cs="宋体"/>
          <w:b/>
          <w:bCs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Management Representative: </w:t>
      </w:r>
      <w:r>
        <w:rPr>
          <w:rFonts w:hint="eastAsia" w:cs="宋体"/>
          <w:b/>
          <w:bCs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Date:</w:t>
      </w:r>
    </w:p>
    <w:p w14:paraId="29C70E6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6086A53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" w:line="360" w:lineRule="auto"/>
        <w:ind w:firstLine="412" w:firstLineChars="200"/>
        <w:textAlignment w:val="auto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Note: There is no change in the above situation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 xml:space="preserve">so it is not necessary to feed back to the 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.</w:t>
      </w:r>
    </w:p>
    <w:sectPr>
      <w:headerReference r:id="rId5" w:type="default"/>
      <w:footerReference r:id="rId6" w:type="default"/>
      <w:pgSz w:w="11910" w:h="16850"/>
      <w:pgMar w:top="1134" w:right="1134" w:bottom="1134" w:left="1134" w:header="680" w:footer="68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0A39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5BEED">
                          <w:pPr>
                            <w:pStyle w:val="5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/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60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5BEED">
                    <w:pPr>
                      <w:pStyle w:val="5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/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60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19DBE"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</w:pBdr>
      <w:autoSpaceDE w:val="0"/>
      <w:autoSpaceDN w:val="0"/>
      <w:spacing w:before="0" w:beforeAutospacing="0" w:after="0" w:afterAutospacing="0"/>
      <w:ind w:left="0" w:right="0"/>
      <w:jc w:val="left"/>
    </w:pPr>
    <w:r>
      <w:rPr>
        <w:rFonts w:hint="eastAsia" w:ascii="宋体" w:hAnsi="宋体" w:eastAsia="宋体" w:cs="宋体"/>
        <w:kern w:val="0"/>
        <w:sz w:val="22"/>
        <w:szCs w:val="22"/>
        <w:lang w:val="en-US" w:eastAsia="zh-CN" w:bidi="ar"/>
      </w:rPr>
      <w:t>Shandong Chuangan Testing and Certification Group Co., Ltd.              CATC-GK-</w:t>
    </w:r>
    <w:r>
      <w:rPr>
        <w:rFonts w:hint="eastAsia" w:cs="宋体"/>
        <w:kern w:val="0"/>
        <w:sz w:val="22"/>
        <w:szCs w:val="22"/>
        <w:lang w:val="en-US" w:eastAsia="zh-CN" w:bidi="ar"/>
      </w:rPr>
      <w:t>11</w:t>
    </w:r>
    <w:r>
      <w:rPr>
        <w:rFonts w:hint="eastAsia" w:ascii="宋体" w:hAnsi="宋体" w:eastAsia="宋体" w:cs="宋体"/>
        <w:kern w:val="0"/>
        <w:sz w:val="22"/>
        <w:szCs w:val="22"/>
        <w:lang w:val="en-US" w:eastAsia="zh-CN" w:bidi="ar"/>
      </w:rPr>
      <w:t xml:space="preserve"> A/0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50DD9F"/>
    <w:multiLevelType w:val="multilevel"/>
    <w:tmpl w:val="C450DD9F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283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900" w:hanging="37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030" w:hanging="37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160" w:hanging="37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1290" w:hanging="37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1420" w:hanging="37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1550" w:hanging="37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1681" w:hanging="370"/>
      </w:pPr>
      <w:rPr>
        <w:rFonts w:hint="default"/>
        <w:lang w:val="en-US" w:eastAsia="zh-CN" w:bidi="ar-SA"/>
      </w:rPr>
    </w:lvl>
  </w:abstractNum>
  <w:abstractNum w:abstractNumId="1">
    <w:nsid w:val="2818BEA5"/>
    <w:multiLevelType w:val="multilevel"/>
    <w:tmpl w:val="2818BEA5"/>
    <w:lvl w:ilvl="0" w:tentative="0">
      <w:start w:val="1"/>
      <w:numFmt w:val="decimal"/>
      <w:suff w:val="space"/>
      <w:lvlText w:val="%1）"/>
      <w:lvlJc w:val="left"/>
      <w:pPr>
        <w:ind w:left="0" w:leftChars="0" w:firstLine="567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60" w:hanging="318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61" w:hanging="31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61" w:hanging="31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462" w:hanging="31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363" w:hanging="31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63" w:hanging="31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164" w:hanging="31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065" w:hanging="318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RjOGNlYWY0ZTI3ODQ4Y2Y0ODEwODdlN2ZlMTQ4N2YifQ=="/>
  </w:docVars>
  <w:rsids>
    <w:rsidRoot w:val="00000000"/>
    <w:rsid w:val="06D52F22"/>
    <w:rsid w:val="0A5864BE"/>
    <w:rsid w:val="0C0455A7"/>
    <w:rsid w:val="0F060247"/>
    <w:rsid w:val="17010F93"/>
    <w:rsid w:val="17E25F57"/>
    <w:rsid w:val="186056D4"/>
    <w:rsid w:val="1C9E3BBC"/>
    <w:rsid w:val="1CA20F4A"/>
    <w:rsid w:val="214829D0"/>
    <w:rsid w:val="21A20E61"/>
    <w:rsid w:val="21EF1AB0"/>
    <w:rsid w:val="25753ECD"/>
    <w:rsid w:val="299C62F4"/>
    <w:rsid w:val="321F0876"/>
    <w:rsid w:val="34DA795B"/>
    <w:rsid w:val="36B61F5B"/>
    <w:rsid w:val="3B312DF4"/>
    <w:rsid w:val="3CBE7045"/>
    <w:rsid w:val="3FD74ED4"/>
    <w:rsid w:val="40F01BC3"/>
    <w:rsid w:val="425440AD"/>
    <w:rsid w:val="430B30D9"/>
    <w:rsid w:val="460E708E"/>
    <w:rsid w:val="4C967AF7"/>
    <w:rsid w:val="4D112398"/>
    <w:rsid w:val="4DDB778D"/>
    <w:rsid w:val="514E7FEB"/>
    <w:rsid w:val="52302A24"/>
    <w:rsid w:val="583B7CB1"/>
    <w:rsid w:val="5B7F739E"/>
    <w:rsid w:val="615642AB"/>
    <w:rsid w:val="6B13150E"/>
    <w:rsid w:val="6B5A300C"/>
    <w:rsid w:val="6CF12CE9"/>
    <w:rsid w:val="6F7848FB"/>
    <w:rsid w:val="6F95006C"/>
    <w:rsid w:val="70043A50"/>
    <w:rsid w:val="724A733B"/>
    <w:rsid w:val="77EF6685"/>
    <w:rsid w:val="79866FC2"/>
    <w:rsid w:val="7ECF5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113"/>
      <w:outlineLvl w:val="1"/>
    </w:pPr>
    <w:rPr>
      <w:rFonts w:ascii="黑体" w:hAnsi="黑体" w:eastAsia="黑体" w:cs="黑体"/>
      <w:sz w:val="32"/>
      <w:szCs w:val="32"/>
      <w:lang w:val="en-US" w:eastAsia="zh-CN" w:bidi="ar-SA"/>
    </w:rPr>
  </w:style>
  <w:style w:type="paragraph" w:styleId="3">
    <w:name w:val="heading 2"/>
    <w:basedOn w:val="1"/>
    <w:qFormat/>
    <w:uiPriority w:val="1"/>
    <w:pPr>
      <w:spacing w:before="62"/>
      <w:ind w:left="2196" w:right="2592"/>
      <w:jc w:val="center"/>
      <w:outlineLvl w:val="2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955" w:hanging="423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109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1552</Words>
  <Characters>9353</Characters>
  <Lines>1</Lines>
  <Paragraphs>1</Paragraphs>
  <TotalTime>29</TotalTime>
  <ScaleCrop>false</ScaleCrop>
  <LinksUpToDate>false</LinksUpToDate>
  <CharactersWithSpaces>10839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2023-11-27T10:49:00Z</dcterms:created>
  <dc:creator>zangnan</dc:creator>
  <cp:lastModifiedBy>开心就好</cp:lastModifiedBy>
  <dcterms:modified xsi:type="dcterms:W3CDTF">2025-02-15T12:51:12Z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2023-11-27T00:00:00Z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CE07C0F8A14841259C105118DEF43F45_12</vt:lpwstr>
  </property>
  <property fmtid="{D5CDD505-2E9C-101B-9397-08002B2CF9AE}" pid="7" name="KSOTemplateDocerSaveRecord">
    <vt:lpwstr>eyJoZGlkIjoiYzJlMWY1MDgwZDg4ZmJiMjVkZGJjMDU4YTg3NTI5YjYiLCJ1c2VySWQiOiI1MTcxMDM1NDEifQ==</vt:lpwstr>
  </property>
</Properties>
</file>